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D9E03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 w14:paraId="4A887F9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岗位需求表</w:t>
      </w:r>
    </w:p>
    <w:tbl>
      <w:tblPr>
        <w:tblStyle w:val="3"/>
        <w:tblW w:w="14031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1035"/>
        <w:gridCol w:w="639"/>
        <w:gridCol w:w="1526"/>
        <w:gridCol w:w="1567"/>
        <w:gridCol w:w="7724"/>
        <w:gridCol w:w="956"/>
      </w:tblGrid>
      <w:tr w14:paraId="20F5DF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5D2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2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科室</w:t>
            </w: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A3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0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6A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772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B5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9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A8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67F34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C1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0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4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6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AE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EB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层次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0D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772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D1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33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20E08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33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4E75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重症与急诊急救中心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6FCF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1B54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专科及以上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DF96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大专，护理；</w:t>
            </w:r>
          </w:p>
          <w:p w14:paraId="475DDFE2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本科，护理学；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C0E5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1.身高：男性≥165cm，女性≥158cm；</w:t>
            </w:r>
          </w:p>
          <w:p w14:paraId="042D5FDA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2.年龄30岁及以下；</w:t>
            </w:r>
          </w:p>
          <w:p w14:paraId="0FE2B83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3.护士及以上职称；</w:t>
            </w:r>
          </w:p>
          <w:p w14:paraId="3E70A2E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4.持有急诊进修证或急诊专科培训证总分+2分；持有ICU进修证或ICU专科培训证总分+2分；持有四川省护士规范化培训合格证总分+1分；全日制本科及以上学历总分+1分；护师职称总分+1分；主管护师职称总分+1分，以上条件可累计加分。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7FF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1354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C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4F329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临床科室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B9933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AE56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专科及以上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50E6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大专，护理；</w:t>
            </w:r>
          </w:p>
          <w:p w14:paraId="5B8B28FB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本科，护理学；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30DE9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1.身高：男性≥165cm，女性≥158cm；</w:t>
            </w:r>
          </w:p>
          <w:p w14:paraId="638218B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2.年龄30岁及以下；</w:t>
            </w:r>
          </w:p>
          <w:p w14:paraId="6E2374C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3.护士及以上职称；</w:t>
            </w:r>
          </w:p>
          <w:p w14:paraId="481EE48D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4.持有四川省护士规范化培训合格证总分+1分；全日制本科及以上学历总分+1分；护师职称总分+1分；主管护师职称总分+1分，以上条件可累计加分。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0A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120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82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CA4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血透中心</w:t>
            </w: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586C8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50D0E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专科及以上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DFB0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大专，护理；</w:t>
            </w:r>
          </w:p>
          <w:p w14:paraId="18C25DC0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center"/>
              <w:textAlignment w:val="baseline"/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本科，护理学；</w:t>
            </w:r>
          </w:p>
        </w:tc>
        <w:tc>
          <w:tcPr>
            <w:tcW w:w="77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07FF6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1.身高：男性≥165cm，女性≥158cm；</w:t>
            </w:r>
          </w:p>
          <w:p w14:paraId="0EE7869C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2.年龄30岁及以下；</w:t>
            </w:r>
          </w:p>
          <w:p w14:paraId="08492191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3.取得护士资格证和护士执业证；</w:t>
            </w:r>
          </w:p>
          <w:p w14:paraId="16550D57"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00" w:lineRule="exact"/>
              <w:jc w:val="left"/>
              <w:textAlignment w:val="baseline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4.证明有血透工作经验者总分+1分；持有血透进修证或血透专科培训证总分+2分；持有四川省护士规范化培训合格证总分+1分；全日制本科及以上学历总分+1分；护师职称总分+1分；主管护师职称总分+1分，以上条件可累计加分。</w:t>
            </w:r>
          </w:p>
        </w:tc>
        <w:tc>
          <w:tcPr>
            <w:tcW w:w="9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FF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5025F130">
      <w:pPr>
        <w:pStyle w:val="2"/>
        <w:ind w:firstLine="600" w:firstLineChars="200"/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基本要求</w:t>
      </w:r>
      <w:r>
        <w:rPr>
          <w:rFonts w:hint="default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: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  <w:vertAlign w:val="baseline"/>
          <w:lang w:val="en-US" w:eastAsia="zh-CN"/>
        </w:rPr>
        <w:t>政治素质好，身体健康。</w:t>
      </w:r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32160D"/>
    <w:rsid w:val="01F164D7"/>
    <w:rsid w:val="0EDD4051"/>
    <w:rsid w:val="165E054F"/>
    <w:rsid w:val="1A8D442E"/>
    <w:rsid w:val="2E716076"/>
    <w:rsid w:val="31326BBC"/>
    <w:rsid w:val="5232160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 w:eastAsia="宋体" w:cs="Times New Roman"/>
      <w:szCs w:val="24"/>
    </w:rPr>
  </w:style>
  <w:style w:type="paragraph" w:customStyle="1" w:styleId="5">
    <w:name w:val="Table Text"/>
    <w:basedOn w:val="1"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2025-05-27T04:42:00Z</dcterms:created>
  <dc:creator>陈俊</dc:creator>
  <cp:lastModifiedBy>陈俊</cp:lastModifiedBy>
  <dcterms:modified xsi:type="dcterms:W3CDTF">2025-05-27T04:43:31Z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12F568E27DCF40039CA2FC2E64C9E3D5_11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