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atLeas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</w:p>
    <w:p>
      <w:pPr>
        <w:spacing w:line="54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巴中市公安局留置看护</w:t>
      </w:r>
      <w:r>
        <w:rPr>
          <w:rFonts w:hint="eastAsia" w:ascii="方正小标宋简体" w:eastAsia="方正小标宋简体"/>
          <w:sz w:val="36"/>
          <w:szCs w:val="36"/>
        </w:rPr>
        <w:t>人员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体能达标测评项目和标准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2"/>
        <w:tblW w:w="8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2186"/>
        <w:gridCol w:w="2358"/>
        <w:gridCol w:w="2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30" w:type="dxa"/>
            <w:vMerge w:val="restart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ind w:firstLine="240" w:firstLineChars="100"/>
              <w:jc w:val="left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-SA"/>
              </w:rPr>
              <w:t>项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-SA"/>
              </w:rPr>
              <w:t>目</w:t>
            </w:r>
          </w:p>
          <w:p>
            <w:pPr>
              <w:widowControl/>
              <w:suppressAutoHyphens/>
              <w:spacing w:before="100" w:beforeAutospacing="1" w:after="100" w:afterAutospacing="1" w:line="300" w:lineRule="atLeast"/>
              <w:ind w:firstLine="240" w:firstLineChars="100"/>
              <w:jc w:val="left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-SA"/>
              </w:rPr>
              <w:t>分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-SA"/>
              </w:rPr>
              <w:t>值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  <w:lang w:bidi="ar-SA"/>
              </w:rPr>
              <w:t>一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  <w:lang w:bidi="ar-SA"/>
              </w:rPr>
              <w:t>二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ind w:firstLine="840" w:firstLineChars="300"/>
              <w:jc w:val="left"/>
              <w:rPr>
                <w:rFonts w:hint="eastAsia" w:ascii="宋体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  <w:lang w:eastAsia="zh-CN" w:bidi="ar-SA"/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30" w:type="dxa"/>
            <w:vMerge w:val="continue"/>
            <w:noWrap w:val="0"/>
            <w:vAlign w:val="center"/>
          </w:tcPr>
          <w:p/>
        </w:tc>
        <w:tc>
          <w:tcPr>
            <w:tcW w:w="2186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lang w:bidi="ar-SA"/>
              </w:rPr>
              <w:t>10米×4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往返跑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1000米跑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立定跳远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30" w:type="dxa"/>
            <w:vMerge w:val="continue"/>
            <w:noWrap w:val="0"/>
            <w:vAlign w:val="center"/>
          </w:tcPr>
          <w:p/>
        </w:tc>
        <w:tc>
          <w:tcPr>
            <w:tcW w:w="2186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bidi="ar-SA"/>
              </w:rPr>
              <w:t>（秒）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snapToGrid w:val="0"/>
                <w:color w:val="000000"/>
                <w:spacing w:val="-20"/>
                <w:w w:val="90"/>
                <w:kern w:val="0"/>
                <w:sz w:val="28"/>
                <w:szCs w:val="28"/>
                <w:lang w:bidi="ar-SA"/>
              </w:rPr>
              <w:t>（分′秒）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bidi="ar-SA"/>
              </w:rPr>
              <w:t>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30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100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9″2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3′26″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2.69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30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95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9″5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3′28″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2.65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30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90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9″8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3′30″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2.61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30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85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10″1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3′32″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2.57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30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80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10″4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3′35″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30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75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10″7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3′40″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2.49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30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70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11″0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3′45″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30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65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11″3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3′50″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2.41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30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60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11″6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3′55″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2.37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30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55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11″9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4′00″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2.33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30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50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12″2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4′05″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30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45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12″5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4′10″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30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40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12″8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4′15″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30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35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13″1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4′20″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widowControl/>
              <w:suppressAutoHyphens/>
              <w:spacing w:before="100" w:beforeAutospacing="1" w:after="100" w:afterAutospacing="1" w:line="300" w:lineRule="atLeas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-SA"/>
              </w:rPr>
              <w:t>2.17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02D43"/>
    <w:rsid w:val="1960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2024-12-17T08:56:00Z</dcterms:created>
  <dc:creator>Administrator</dc:creator>
  <cp:lastModifiedBy>Administrator</cp:lastModifiedBy>
  <dcterms:modified xsi:type="dcterms:W3CDTF">2024-12-17T08:56:23Z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